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jc w:val="center"/>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宁夏司法所标准化建设验收细则</w:t>
      </w:r>
      <w:bookmarkEnd w:id="0"/>
    </w:p>
    <w:p>
      <w:pPr>
        <w:pStyle w:val="6"/>
        <w:rPr>
          <w:rFonts w:hint="eastAsia"/>
          <w:color w:val="000000"/>
          <w:lang w:val="en-US" w:eastAsia="zh-CN"/>
        </w:rPr>
      </w:pPr>
    </w:p>
    <w:tbl>
      <w:tblPr>
        <w:tblStyle w:val="8"/>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7991"/>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24"/>
                <w:szCs w:val="24"/>
                <w:vertAlign w:val="baseline"/>
                <w:lang w:val="en-US" w:eastAsia="zh-CN"/>
              </w:rPr>
            </w:pPr>
            <w:r>
              <w:rPr>
                <w:rFonts w:hint="eastAsia" w:ascii="宋体" w:hAnsi="宋体" w:cs="宋体"/>
                <w:b/>
                <w:bCs/>
                <w:color w:val="000000"/>
                <w:sz w:val="24"/>
                <w:szCs w:val="24"/>
                <w:lang w:val="en-US" w:eastAsia="zh-CN"/>
              </w:rPr>
              <w:t>验收</w:t>
            </w:r>
            <w:r>
              <w:rPr>
                <w:rFonts w:hint="eastAsia" w:ascii="宋体" w:hAnsi="宋体" w:eastAsia="宋体" w:cs="宋体"/>
                <w:b/>
                <w:bCs/>
                <w:color w:val="000000"/>
                <w:sz w:val="24"/>
                <w:szCs w:val="24"/>
                <w:lang w:val="en-US" w:eastAsia="zh-CN"/>
              </w:rPr>
              <w:t>项目</w:t>
            </w:r>
          </w:p>
        </w:tc>
        <w:tc>
          <w:tcPr>
            <w:tcW w:w="799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24"/>
                <w:szCs w:val="24"/>
                <w:vertAlign w:val="baseline"/>
                <w:lang w:val="en-US" w:eastAsia="zh-CN"/>
              </w:rPr>
            </w:pPr>
            <w:r>
              <w:rPr>
                <w:rFonts w:hint="eastAsia" w:ascii="宋体" w:hAnsi="宋体" w:eastAsia="宋体" w:cs="宋体"/>
                <w:b/>
                <w:bCs/>
                <w:color w:val="000000"/>
                <w:sz w:val="24"/>
                <w:szCs w:val="24"/>
                <w:lang w:val="en-US" w:eastAsia="zh-CN"/>
              </w:rPr>
              <w:t>验收内容</w:t>
            </w:r>
          </w:p>
        </w:tc>
        <w:tc>
          <w:tcPr>
            <w:tcW w:w="354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24"/>
                <w:szCs w:val="24"/>
                <w:vertAlign w:val="baseline"/>
                <w:lang w:val="en-US" w:eastAsia="zh-CN"/>
              </w:rPr>
            </w:pPr>
            <w:r>
              <w:rPr>
                <w:rFonts w:hint="eastAsia" w:ascii="宋体" w:hAnsi="宋体" w:eastAsia="宋体" w:cs="宋体"/>
                <w:b/>
                <w:bCs/>
                <w:color w:val="000000"/>
                <w:sz w:val="24"/>
                <w:szCs w:val="24"/>
                <w:lang w:val="en-US" w:eastAsia="zh-CN"/>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595" w:type="dxa"/>
            <w:noWrap w:val="0"/>
            <w:vAlign w:val="top"/>
          </w:tcPr>
          <w:p>
            <w:pPr>
              <w:rPr>
                <w:color w:val="000000"/>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82" w:firstLineChars="200"/>
              <w:jc w:val="both"/>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政治建设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 w:cs="宋体"/>
                <w:b/>
                <w:bCs/>
                <w:color w:val="000000"/>
                <w:sz w:val="24"/>
                <w:szCs w:val="24"/>
                <w:lang w:val="en-US" w:eastAsia="zh-CN"/>
              </w:rPr>
            </w:pPr>
            <w:r>
              <w:rPr>
                <w:rFonts w:hint="eastAsia" w:ascii="宋体" w:hAnsi="宋体" w:cs="宋体"/>
                <w:b/>
                <w:bCs/>
                <w:color w:val="000000"/>
                <w:sz w:val="24"/>
                <w:szCs w:val="24"/>
                <w:lang w:val="en-US" w:eastAsia="zh-CN"/>
              </w:rPr>
              <w:t>（5</w:t>
            </w:r>
            <w:r>
              <w:rPr>
                <w:rFonts w:hint="eastAsia" w:ascii="宋体" w:hAnsi="宋体" w:eastAsia="宋体" w:cs="宋体"/>
                <w:b/>
                <w:bCs/>
                <w:color w:val="000000"/>
                <w:sz w:val="24"/>
                <w:szCs w:val="24"/>
                <w:lang w:val="en-US" w:eastAsia="zh-CN"/>
              </w:rPr>
              <w:t>分</w:t>
            </w:r>
            <w:r>
              <w:rPr>
                <w:rFonts w:hint="eastAsia" w:ascii="宋体" w:hAnsi="宋体" w:cs="宋体"/>
                <w:b/>
                <w:bCs/>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24"/>
                <w:szCs w:val="24"/>
                <w:vertAlign w:val="baseline"/>
                <w:lang w:val="en-US" w:eastAsia="zh-CN"/>
              </w:rPr>
            </w:pPr>
          </w:p>
        </w:tc>
        <w:tc>
          <w:tcPr>
            <w:tcW w:w="799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司法所工作要始终坚持党的绝对领导，坚持把政治建设放在首位，以党建统领司法所整体工作。（3分）</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司法所实行所长负责制，司法所所长一般应是中共党员。（2分）</w:t>
            </w:r>
          </w:p>
        </w:tc>
        <w:tc>
          <w:tcPr>
            <w:tcW w:w="354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color w:val="000000"/>
                <w:kern w:val="2"/>
                <w:sz w:val="24"/>
                <w:szCs w:val="24"/>
                <w:lang w:val="en-US" w:eastAsia="zh-CN" w:bidi="ar-SA"/>
              </w:rPr>
              <w:t>查看司法所党员参加组织生活记录、党费证。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eastAsia="宋体" w:cs="宋体"/>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机构建设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b/>
                <w:bCs/>
                <w:color w:val="000000"/>
                <w:sz w:val="24"/>
                <w:szCs w:val="24"/>
                <w:vertAlign w:val="baseline"/>
                <w:lang w:eastAsia="zh-CN"/>
              </w:rPr>
            </w:pPr>
            <w:r>
              <w:rPr>
                <w:rFonts w:hint="eastAsia" w:ascii="宋体" w:hAnsi="宋体" w:cs="宋体"/>
                <w:b/>
                <w:bCs/>
                <w:color w:val="000000"/>
                <w:sz w:val="24"/>
                <w:szCs w:val="24"/>
                <w:lang w:val="en-US" w:eastAsia="zh-CN"/>
              </w:rPr>
              <w:t>（</w:t>
            </w:r>
            <w:r>
              <w:rPr>
                <w:rFonts w:hint="eastAsia" w:ascii="宋体" w:hAnsi="宋体" w:eastAsia="宋体" w:cs="宋体"/>
                <w:b/>
                <w:bCs/>
                <w:color w:val="000000"/>
                <w:sz w:val="24"/>
                <w:szCs w:val="24"/>
                <w:lang w:val="en-US" w:eastAsia="zh-CN"/>
              </w:rPr>
              <w:t>10分</w:t>
            </w:r>
            <w:r>
              <w:rPr>
                <w:rFonts w:hint="eastAsia" w:ascii="宋体" w:hAnsi="宋体" w:cs="宋体"/>
                <w:b/>
                <w:bCs/>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24"/>
                <w:szCs w:val="24"/>
                <w:vertAlign w:val="baseline"/>
                <w:lang w:val="en-US" w:eastAsia="zh-CN"/>
              </w:rPr>
            </w:pPr>
          </w:p>
        </w:tc>
        <w:tc>
          <w:tcPr>
            <w:tcW w:w="799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按照“一乡镇（街道）一司法所”的原则，结合辖区面积、人员规模及工作需要设置司法所。(2分)</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司法所的设立、撤销、合并或者变更规格、名称，由县（市、区）司法局报同级机构编制管理机关审批，并报所属市司法局备案。(2分)</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司法所名称为“××县(市、区)司法局××（司法所所在地地名）司法所。（2分）</w:t>
            </w:r>
          </w:p>
        </w:tc>
        <w:tc>
          <w:tcPr>
            <w:tcW w:w="354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查看司法所设立、撤销、合并文件，及向市司法局备案情况。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5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24"/>
                <w:szCs w:val="24"/>
                <w:vertAlign w:val="baseline"/>
                <w:lang w:val="en-US" w:eastAsia="zh-CN"/>
              </w:rPr>
            </w:pPr>
          </w:p>
        </w:tc>
        <w:tc>
          <w:tcPr>
            <w:tcW w:w="79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司法所是县（市、区）司法局的副科级派出机构，司法所所长是副科级领导干部。（4分）</w:t>
            </w:r>
          </w:p>
        </w:tc>
        <w:tc>
          <w:tcPr>
            <w:tcW w:w="354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查看司法所长任命文件。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90" w:rightChars="-43"/>
              <w:jc w:val="center"/>
              <w:textAlignment w:val="auto"/>
              <w:outlineLvl w:val="9"/>
              <w:rPr>
                <w:rFonts w:hint="eastAsia" w:ascii="宋体" w:hAnsi="宋体" w:eastAsia="宋体" w:cs="宋体"/>
                <w:b/>
                <w:bCs/>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90" w:rightChars="-43"/>
              <w:jc w:val="center"/>
              <w:textAlignment w:val="auto"/>
              <w:outlineLvl w:val="9"/>
              <w:rPr>
                <w:rFonts w:hint="eastAsia" w:ascii="宋体" w:hAnsi="宋体" w:eastAsia="宋体" w:cs="宋体"/>
                <w:b/>
                <w:bCs/>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90" w:rightChars="-43"/>
              <w:jc w:val="center"/>
              <w:textAlignment w:val="auto"/>
              <w:outlineLvl w:val="9"/>
              <w:rPr>
                <w:rFonts w:hint="eastAsia" w:ascii="宋体" w:hAnsi="宋体" w:eastAsia="宋体" w:cs="宋体"/>
                <w:b/>
                <w:bCs/>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90" w:rightChars="-43"/>
              <w:jc w:val="center"/>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三、</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90" w:rightChars="-43"/>
              <w:jc w:val="center"/>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队伍建设</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jc w:val="center"/>
              <w:textAlignment w:val="auto"/>
              <w:outlineLvl w:val="9"/>
              <w:rPr>
                <w:rFonts w:hint="eastAsia"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w:t>
            </w:r>
            <w:r>
              <w:rPr>
                <w:rFonts w:hint="eastAsia" w:ascii="宋体" w:hAnsi="宋体" w:eastAsia="宋体" w:cs="宋体"/>
                <w:b/>
                <w:bCs/>
                <w:color w:val="000000"/>
                <w:sz w:val="24"/>
                <w:szCs w:val="24"/>
                <w:lang w:val="en-US" w:eastAsia="zh-CN"/>
              </w:rPr>
              <w:t>10分</w:t>
            </w:r>
            <w:r>
              <w:rPr>
                <w:rFonts w:hint="eastAsia" w:ascii="宋体" w:hAnsi="宋体" w:cs="宋体"/>
                <w:b/>
                <w:bCs/>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24"/>
                <w:szCs w:val="24"/>
                <w:vertAlign w:val="baseline"/>
                <w:lang w:val="en-US" w:eastAsia="zh-CN"/>
              </w:rPr>
            </w:pPr>
          </w:p>
        </w:tc>
        <w:tc>
          <w:tcPr>
            <w:tcW w:w="799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司法所由3名以上（含3名）在编在岗人员组成。(2分)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聘用3名以上（含3名）专职调解员。(2分)</w:t>
            </w:r>
          </w:p>
        </w:tc>
        <w:tc>
          <w:tcPr>
            <w:tcW w:w="354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查看县（区）司法局在编人员花名册，司法所工作人员分配文件和专职调解员聘用、分配文件。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5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24"/>
                <w:szCs w:val="24"/>
                <w:vertAlign w:val="baseline"/>
                <w:lang w:val="en-US" w:eastAsia="zh-CN"/>
              </w:rPr>
            </w:pPr>
          </w:p>
        </w:tc>
        <w:tc>
          <w:tcPr>
            <w:tcW w:w="799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司法所所长应当具有大专以上学历，具备较强的组织协调能力，能够贯彻落实上级工作部署和管理要求。(1分)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新招录的司法局公务员应当具有大专以上文化程度，以法律专业为主，必须在司法所锻炼2年以上。(1分)</w:t>
            </w:r>
          </w:p>
        </w:tc>
        <w:tc>
          <w:tcPr>
            <w:tcW w:w="354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auto"/>
                <w:sz w:val="24"/>
                <w:szCs w:val="24"/>
                <w:lang w:val="en-US" w:eastAsia="zh-CN"/>
              </w:rPr>
              <w:t>查看司法所所长、近三年新招录公务员学历及在司法所锻炼工作经历情况。</w:t>
            </w:r>
          </w:p>
        </w:tc>
      </w:tr>
    </w:tbl>
    <w:p>
      <w:pPr>
        <w:pStyle w:val="6"/>
        <w:ind w:left="0" w:leftChars="0" w:firstLine="0" w:firstLineChars="0"/>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32"/>
          <w:szCs w:val="32"/>
          <w:lang w:val="en-US" w:eastAsia="zh-CN"/>
        </w:rPr>
        <w:br w:type="page"/>
      </w:r>
    </w:p>
    <w:tbl>
      <w:tblPr>
        <w:tblStyle w:val="8"/>
        <w:tblW w:w="0" w:type="auto"/>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464"/>
        <w:gridCol w:w="7745"/>
        <w:gridCol w:w="3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8209"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司法所长每年培训不少于15天。（1分）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24"/>
                <w:szCs w:val="24"/>
                <w:lang w:val="en-US" w:eastAsia="zh-CN"/>
              </w:rPr>
              <w:t>司法助理员、专职调解员、社区矫正协理员每年培训不少于10天。（1分）</w:t>
            </w:r>
          </w:p>
        </w:tc>
        <w:tc>
          <w:tcPr>
            <w:tcW w:w="3532"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查看培训文件、课程安排、现场图片、培训资料。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8209"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借调司法所在编在岗工作人员3个月以上的，须由借调单位出具书面借调函，所在司法所签署意见，书面报请所属县（市、区）司法局研究同意，并报上一级司法行政机关备案。(1分)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sz w:val="24"/>
                <w:szCs w:val="24"/>
                <w:lang w:val="en-US" w:eastAsia="zh-CN"/>
              </w:rPr>
              <w:t>借调不得超过6个月，超过6个月以上的，限期调离。(1分)</w:t>
            </w:r>
            <w:r>
              <w:rPr>
                <w:rFonts w:hint="eastAsia" w:ascii="仿宋_GB2312" w:hAnsi="仿宋_GB2312" w:eastAsia="仿宋_GB2312" w:cs="仿宋_GB2312"/>
                <w:color w:val="000000"/>
                <w:sz w:val="24"/>
                <w:szCs w:val="24"/>
                <w:lang w:val="en-US" w:eastAsia="zh-CN"/>
              </w:rPr>
              <w:tab/>
            </w:r>
          </w:p>
        </w:tc>
        <w:tc>
          <w:tcPr>
            <w:tcW w:w="3532"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查看借调函、报备文件，提供借调人员姓名、借调起止日期。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90" w:rightChars="-43"/>
              <w:jc w:val="both"/>
              <w:textAlignment w:val="auto"/>
              <w:outlineLvl w:val="9"/>
              <w:rPr>
                <w:rFonts w:hint="eastAsia" w:ascii="宋体" w:hAnsi="宋体" w:eastAsia="宋体" w:cs="宋体"/>
                <w:b/>
                <w:bCs/>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90" w:rightChars="-43"/>
              <w:jc w:val="both"/>
              <w:textAlignment w:val="auto"/>
              <w:outlineLvl w:val="9"/>
              <w:rPr>
                <w:rFonts w:hint="eastAsia" w:ascii="宋体" w:hAnsi="宋体" w:eastAsia="宋体" w:cs="宋体"/>
                <w:b/>
                <w:bCs/>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90" w:rightChars="-43"/>
              <w:jc w:val="both"/>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 xml:space="preserve">    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90" w:rightChars="-43"/>
              <w:jc w:val="center"/>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业务建设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90" w:rightChars="-43"/>
              <w:jc w:val="center"/>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（60分）</w:t>
            </w:r>
          </w:p>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464"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color w:val="000000"/>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 w:cs="宋体"/>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 w:cs="宋体"/>
                <w:color w:val="000000"/>
                <w:sz w:val="24"/>
                <w:szCs w:val="24"/>
                <w:lang w:val="en-US" w:eastAsia="zh-CN"/>
              </w:rPr>
            </w:pPr>
            <w:r>
              <w:rPr>
                <w:rFonts w:hint="eastAsia" w:ascii="仿宋_GB2312" w:hAnsi="仿宋" w:cs="宋体"/>
                <w:color w:val="000000"/>
                <w:sz w:val="24"/>
                <w:szCs w:val="24"/>
                <w:lang w:val="en-US" w:eastAsia="zh-CN"/>
              </w:rPr>
              <w:t>人民调解15分</w:t>
            </w:r>
          </w:p>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rFonts w:hint="eastAsia"/>
                <w:color w:val="000000"/>
                <w:lang w:val="en-US" w:eastAsia="zh-CN"/>
              </w:rPr>
            </w:pPr>
          </w:p>
        </w:tc>
        <w:tc>
          <w:tcPr>
            <w:tcW w:w="7745"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辖区内人民调解组织“四张网”健全。村居(社区)调解组织达到100%，企事业单位调解组织达到80%，行业性、专业性调解组织应建尽建。（2分）</w:t>
            </w:r>
          </w:p>
        </w:tc>
        <w:tc>
          <w:tcPr>
            <w:tcW w:w="3532"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查看辖区内村居（社区）、企事业单位调解组织花名册及调委会照片。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377"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464"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774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辖区内矛盾纠纷排查预警全覆盖。（1分）</w:t>
            </w:r>
          </w:p>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民间纠纷调解成功率达到95%以上，调解协议履行率达98%以上。（2分）</w:t>
            </w:r>
          </w:p>
        </w:tc>
        <w:tc>
          <w:tcPr>
            <w:tcW w:w="353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查看矛盾纠纷排查台账，随机抽查案卷，回访当事人及调解员。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377"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464"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774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专职人民调解员每月最低1000元生活补助落实到位。（2分）</w:t>
            </w:r>
          </w:p>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人民调解案件以案定补经费发放到位。(3分)</w:t>
            </w:r>
          </w:p>
        </w:tc>
        <w:tc>
          <w:tcPr>
            <w:tcW w:w="353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提供专职人民调解员花名册及联系方式，查看生活补助发放表，以案定补经费发放表或银行记录，电话或实地回访调解员。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464"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7745"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近三年内未发生因矛盾纠纷调解不当或不及时而导致“民转刑”案件、群体性事件和集体上访事件。（3分）</w:t>
            </w:r>
          </w:p>
        </w:tc>
        <w:tc>
          <w:tcPr>
            <w:tcW w:w="3532"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查看政法委、信访部门出具的相关证明。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77"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464"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7745"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近三年未出现人民调解协议被人民法院撤销或确认无效。（2分）</w:t>
            </w:r>
          </w:p>
        </w:tc>
        <w:tc>
          <w:tcPr>
            <w:tcW w:w="3532"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查看法院出具的相关证明，询问、回访当事人、抽查案卷。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1377"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464"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 w:cs="宋体"/>
                <w:color w:val="000000"/>
                <w:sz w:val="24"/>
                <w:szCs w:val="24"/>
                <w:lang w:val="en-US" w:eastAsia="zh-CN"/>
              </w:rPr>
            </w:pPr>
            <w:r>
              <w:rPr>
                <w:rFonts w:hint="eastAsia" w:ascii="仿宋_GB2312" w:hAnsi="仿宋" w:cs="宋体"/>
                <w:color w:val="000000"/>
                <w:sz w:val="24"/>
                <w:szCs w:val="24"/>
                <w:lang w:val="en-US" w:eastAsia="zh-CN"/>
              </w:rPr>
              <w:t>公</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color w:val="000000"/>
                <w:lang w:val="en-US" w:eastAsia="zh-CN"/>
              </w:rPr>
            </w:pPr>
            <w:r>
              <w:rPr>
                <w:rFonts w:hint="eastAsia" w:ascii="仿宋_GB2312" w:hAnsi="仿宋" w:cs="宋体"/>
                <w:color w:val="000000"/>
                <w:sz w:val="24"/>
                <w:szCs w:val="24"/>
                <w:lang w:val="en-US" w:eastAsia="zh-CN"/>
              </w:rPr>
              <w:t>共法律服务10分</w:t>
            </w:r>
          </w:p>
        </w:tc>
        <w:tc>
          <w:tcPr>
            <w:tcW w:w="7745"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实现乡镇（街道）公共法律服务工作站，村（社区）公共法律服务工作室全覆盖。（2分）</w:t>
            </w:r>
          </w:p>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乡镇（街道）公共法律服务工作站推行3+X“柜台式”服务工作，设立开放式服务厅，设置接待窗口（柜台）。（1分）</w:t>
            </w:r>
          </w:p>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配备公共法律服务智能终端设备，保持网络畅通实现与县（区）公共法律服务中心视频咨询。（2分）</w:t>
            </w:r>
          </w:p>
        </w:tc>
        <w:tc>
          <w:tcPr>
            <w:tcW w:w="3532"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查看乡镇（街道）、村（社区）公共法律服务工作站（室）花名册、室内外建设、设施配备等情况。</w:t>
            </w:r>
          </w:p>
        </w:tc>
      </w:tr>
    </w:tbl>
    <w:p>
      <w:pPr>
        <w:pStyle w:val="6"/>
        <w:ind w:left="0" w:leftChars="0" w:firstLine="0" w:firstLineChars="0"/>
        <w:rPr>
          <w:rFonts w:hint="eastAsia" w:ascii="仿宋_GB2312" w:hAnsi="仿宋_GB2312" w:eastAsia="仿宋_GB2312" w:cs="仿宋_GB2312"/>
          <w:color w:val="000000"/>
          <w:sz w:val="32"/>
          <w:szCs w:val="32"/>
          <w:lang w:val="en-US" w:eastAsia="zh-CN"/>
        </w:rPr>
      </w:pPr>
    </w:p>
    <w:tbl>
      <w:tblPr>
        <w:tblStyle w:val="8"/>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477"/>
        <w:gridCol w:w="7787"/>
        <w:gridCol w:w="3491"/>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Pr>
        <w:tc>
          <w:tcPr>
            <w:tcW w:w="1336"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90" w:rightChars="-43"/>
              <w:jc w:val="both"/>
              <w:textAlignment w:val="auto"/>
              <w:rPr>
                <w:rFonts w:hint="eastAsia" w:ascii="宋体" w:hAnsi="宋体" w:eastAsia="宋体" w:cs="宋体"/>
                <w:b/>
                <w:bCs/>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90" w:rightChars="-43"/>
              <w:jc w:val="both"/>
              <w:textAlignment w:val="auto"/>
              <w:rPr>
                <w:rFonts w:hint="eastAsia" w:ascii="宋体" w:hAnsi="宋体" w:eastAsia="宋体" w:cs="宋体"/>
                <w:b/>
                <w:bCs/>
                <w:color w:val="000000"/>
                <w:sz w:val="24"/>
                <w:szCs w:val="24"/>
                <w:lang w:val="en-US" w:eastAsia="zh-CN"/>
              </w:rPr>
            </w:pPr>
          </w:p>
          <w:p>
            <w:pPr>
              <w:rPr>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90" w:rightChars="-43"/>
              <w:jc w:val="both"/>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 xml:space="preserve">    四、</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90" w:rightChars="-43"/>
              <w:jc w:val="center"/>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业务建设</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right="-90" w:rightChars="-43"/>
              <w:jc w:val="center"/>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（60分）</w:t>
            </w:r>
          </w:p>
          <w:p>
            <w:pPr>
              <w:pStyle w:val="6"/>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仿宋_GB2312" w:hAnsi="仿宋_GB2312" w:eastAsia="仿宋_GB2312" w:cs="仿宋_GB2312"/>
                <w:color w:val="000000"/>
                <w:sz w:val="32"/>
                <w:szCs w:val="32"/>
                <w:vertAlign w:val="baseline"/>
                <w:lang w:val="en-US" w:eastAsia="zh-CN"/>
              </w:rPr>
            </w:pPr>
          </w:p>
        </w:tc>
        <w:tc>
          <w:tcPr>
            <w:tcW w:w="477"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p>
        </w:tc>
        <w:tc>
          <w:tcPr>
            <w:tcW w:w="7787"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村（社区）法律服务工作室设置公示栏和便民信箱，对外公布村（社区）法律顾问信息，公布法律服务目录、法律服务操作流程、法律服务监督电话等内容。（1分）</w:t>
            </w:r>
          </w:p>
          <w:p>
            <w:pPr>
              <w:pStyle w:val="6"/>
              <w:keepNext w:val="0"/>
              <w:keepLines w:val="0"/>
              <w:pageBreakBefore w:val="0"/>
              <w:widowControl w:val="0"/>
              <w:kinsoku/>
              <w:wordWrap/>
              <w:overflowPunct/>
              <w:topLinePunct w:val="0"/>
              <w:autoSpaceDE/>
              <w:autoSpaceDN/>
              <w:bidi w:val="0"/>
              <w:adjustRightInd/>
              <w:snapToGrid/>
              <w:spacing w:after="0" w:line="28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服务区域设置县域法律服务导引指示栏、二维码及宣传资料。（1分）</w:t>
            </w:r>
          </w:p>
        </w:tc>
        <w:tc>
          <w:tcPr>
            <w:tcW w:w="3491"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ind w:left="0" w:leftChars="0" w:firstLine="0" w:firstLineChars="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查看村（居）法律顾问花名册、服务目录、流程、指引等设置情况</w:t>
            </w:r>
            <w:r>
              <w:rPr>
                <w:rFonts w:hint="eastAsia" w:ascii="仿宋_GB2312" w:hAnsi="仿宋" w:cs="宋体"/>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Pr>
        <w:tc>
          <w:tcPr>
            <w:tcW w:w="1336"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仿宋_GB2312" w:hAnsi="仿宋_GB2312" w:eastAsia="仿宋_GB2312" w:cs="仿宋_GB2312"/>
                <w:color w:val="000000"/>
                <w:sz w:val="32"/>
                <w:szCs w:val="32"/>
                <w:vertAlign w:val="baseline"/>
                <w:lang w:val="en-US" w:eastAsia="zh-CN"/>
              </w:rPr>
            </w:pPr>
          </w:p>
        </w:tc>
        <w:tc>
          <w:tcPr>
            <w:tcW w:w="477"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仿宋_GB2312" w:hAnsi="仿宋_GB2312" w:eastAsia="仿宋_GB2312" w:cs="仿宋_GB2312"/>
                <w:color w:val="000000"/>
                <w:sz w:val="32"/>
                <w:szCs w:val="32"/>
                <w:vertAlign w:val="baseline"/>
                <w:lang w:val="en-US" w:eastAsia="zh-CN"/>
              </w:rPr>
            </w:pPr>
          </w:p>
        </w:tc>
        <w:tc>
          <w:tcPr>
            <w:tcW w:w="7787"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ind w:left="0" w:leftChars="0" w:firstLine="0" w:firstLineChars="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将低收入群体、残疾人、农民工、老年人、青少年、单亲困难母亲、留守妇女儿童等特殊群体和军人军属、退役军人及其他优抚对象作为公共法律服务重点对象。（3分）</w:t>
            </w:r>
          </w:p>
        </w:tc>
        <w:tc>
          <w:tcPr>
            <w:tcW w:w="3491"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ind w:left="0" w:leftChars="0" w:firstLine="0" w:firstLineChars="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查看法律援助案件受理登记表及案卷。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520" w:hRule="atLeast"/>
        </w:trPr>
        <w:tc>
          <w:tcPr>
            <w:tcW w:w="1336"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仿宋_GB2312" w:hAnsi="仿宋_GB2312" w:eastAsia="仿宋_GB2312" w:cs="仿宋_GB2312"/>
                <w:color w:val="000000"/>
                <w:sz w:val="32"/>
                <w:szCs w:val="32"/>
                <w:vertAlign w:val="baseline"/>
                <w:lang w:val="en-US" w:eastAsia="zh-CN"/>
              </w:rPr>
            </w:pPr>
          </w:p>
        </w:tc>
        <w:tc>
          <w:tcPr>
            <w:tcW w:w="477"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仿宋_GB2312" w:hAnsi="仿宋_GB2312" w:eastAsia="仿宋_GB2312" w:cs="仿宋_GB2312"/>
                <w:color w:val="00000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 w:cs="宋体"/>
                <w:color w:val="000000"/>
                <w:sz w:val="24"/>
                <w:szCs w:val="24"/>
                <w:lang w:val="en-US" w:eastAsia="zh-CN"/>
              </w:rPr>
            </w:pPr>
            <w:r>
              <w:rPr>
                <w:rFonts w:hint="eastAsia" w:ascii="仿宋_GB2312" w:hAnsi="仿宋" w:cs="宋体"/>
                <w:color w:val="000000"/>
                <w:sz w:val="24"/>
                <w:szCs w:val="24"/>
                <w:lang w:val="en-US" w:eastAsia="zh-CN"/>
              </w:rPr>
              <w:t>社区</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 w:cs="宋体"/>
                <w:color w:val="000000"/>
                <w:sz w:val="24"/>
                <w:szCs w:val="24"/>
                <w:lang w:val="en-US" w:eastAsia="zh-CN"/>
              </w:rPr>
            </w:pPr>
            <w:r>
              <w:rPr>
                <w:rFonts w:hint="eastAsia" w:ascii="仿宋_GB2312" w:hAnsi="仿宋" w:cs="宋体"/>
                <w:color w:val="000000"/>
                <w:sz w:val="24"/>
                <w:szCs w:val="24"/>
                <w:lang w:val="en-US" w:eastAsia="zh-CN"/>
              </w:rPr>
              <w:t>矫正</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color w:val="000000"/>
                <w:lang w:val="en-US" w:eastAsia="zh-CN"/>
              </w:rPr>
            </w:pPr>
            <w:r>
              <w:rPr>
                <w:rFonts w:hint="eastAsia" w:ascii="仿宋_GB2312" w:hAnsi="仿宋" w:cs="宋体"/>
                <w:color w:val="000000"/>
                <w:sz w:val="24"/>
                <w:szCs w:val="24"/>
                <w:lang w:val="en-US" w:eastAsia="zh-CN"/>
              </w:rPr>
              <w:t>10分</w:t>
            </w:r>
          </w:p>
        </w:tc>
        <w:tc>
          <w:tcPr>
            <w:tcW w:w="778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明确一名政法专项编制人员为社区矫正专职工作人员。（1.5分）</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受社区矫正机构委托组织开展拟适用社区矫正前社会调查评估，出具评估意见。（2分）</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为每一名社区矫正对象建立社区矫正小组和社区矫正工作档案。（2分）</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未发生因工作人员履职不到位导致社区矫正对象脱漏管及违反监管规定的情况。（1.5分）</w:t>
            </w:r>
          </w:p>
          <w:p>
            <w:pPr>
              <w:pStyle w:val="6"/>
              <w:keepNext w:val="0"/>
              <w:keepLines w:val="0"/>
              <w:pageBreakBefore w:val="0"/>
              <w:widowControl w:val="0"/>
              <w:kinsoku/>
              <w:wordWrap/>
              <w:overflowPunct/>
              <w:topLinePunct w:val="0"/>
              <w:autoSpaceDE/>
              <w:autoSpaceDN/>
              <w:bidi w:val="0"/>
              <w:adjustRightInd/>
              <w:snapToGrid/>
              <w:spacing w:after="0" w:line="280" w:lineRule="exact"/>
              <w:ind w:left="0" w:leftChars="0" w:firstLine="0" w:firstLineChars="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辖区内社区矫正对象近三年无再犯罪情况。（3分）</w:t>
            </w:r>
          </w:p>
        </w:tc>
        <w:tc>
          <w:tcPr>
            <w:tcW w:w="3491"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ind w:left="0" w:leftChars="0" w:firstLine="0" w:firstLineChars="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查看社区矫正日常工作档案，社区矫正对象再犯罪情况由业务处室掌握。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999" w:hRule="atLeast"/>
        </w:trPr>
        <w:tc>
          <w:tcPr>
            <w:tcW w:w="1336"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仿宋_GB2312" w:hAnsi="仿宋_GB2312" w:eastAsia="仿宋_GB2312" w:cs="仿宋_GB2312"/>
                <w:color w:val="000000"/>
                <w:sz w:val="32"/>
                <w:szCs w:val="32"/>
                <w:vertAlign w:val="baseline"/>
                <w:lang w:val="en-US" w:eastAsia="zh-CN"/>
              </w:rPr>
            </w:pPr>
          </w:p>
        </w:tc>
        <w:tc>
          <w:tcPr>
            <w:tcW w:w="477"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仿宋_GB2312" w:hAnsi="仿宋_GB2312" w:eastAsia="仿宋_GB2312" w:cs="仿宋_GB2312"/>
                <w:color w:val="00000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 w:cs="宋体"/>
                <w:color w:val="000000"/>
                <w:sz w:val="24"/>
                <w:szCs w:val="24"/>
                <w:lang w:val="en-US" w:eastAsia="zh-CN"/>
              </w:rPr>
            </w:pPr>
            <w:r>
              <w:rPr>
                <w:rFonts w:hint="eastAsia" w:ascii="仿宋_GB2312" w:hAnsi="仿宋" w:cs="宋体"/>
                <w:color w:val="000000"/>
                <w:sz w:val="24"/>
                <w:szCs w:val="24"/>
                <w:lang w:val="en-US" w:eastAsia="zh-CN"/>
              </w:rPr>
              <w:t>安置</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 w:cs="宋体"/>
                <w:color w:val="000000"/>
                <w:sz w:val="24"/>
                <w:szCs w:val="24"/>
                <w:lang w:val="en-US" w:eastAsia="zh-CN"/>
              </w:rPr>
            </w:pPr>
            <w:r>
              <w:rPr>
                <w:rFonts w:hint="eastAsia" w:ascii="仿宋_GB2312" w:hAnsi="仿宋" w:cs="宋体"/>
                <w:color w:val="000000"/>
                <w:sz w:val="24"/>
                <w:szCs w:val="24"/>
                <w:lang w:val="en-US" w:eastAsia="zh-CN"/>
              </w:rPr>
              <w:t>帮教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color w:val="000000"/>
                <w:lang w:val="en-US" w:eastAsia="zh-CN"/>
              </w:rPr>
            </w:pPr>
            <w:r>
              <w:rPr>
                <w:rFonts w:hint="eastAsia" w:ascii="仿宋_GB2312" w:hAnsi="仿宋" w:cs="宋体"/>
                <w:color w:val="000000"/>
                <w:sz w:val="24"/>
                <w:szCs w:val="24"/>
                <w:lang w:val="en-US" w:eastAsia="zh-CN"/>
              </w:rPr>
              <w:t>10分</w:t>
            </w:r>
          </w:p>
        </w:tc>
        <w:tc>
          <w:tcPr>
            <w:tcW w:w="778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刑满释放人员底数清楚，为每名刑满释放人员建立安置帮教工作档案，指导建立帮教小组。（2分）</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重点和一般帮教对象衔接率分别达到100%和95%以上。（3分）</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已衔接人员帮教率达到98%，安置率达到95%以上。（2分）。</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协调有关部门积极开展刑满释放人员帮扶工作，解决刑满释放人员实际困难。（3分）</w:t>
            </w:r>
          </w:p>
        </w:tc>
        <w:tc>
          <w:tcPr>
            <w:tcW w:w="3491"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ind w:left="0" w:leftChars="0" w:firstLine="0" w:firstLineChars="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查看刑满释放人员花名册，实地查看安置帮教工作档案，电话回访刑满释放人员帮教、安置情况。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069" w:hRule="atLeast"/>
        </w:trPr>
        <w:tc>
          <w:tcPr>
            <w:tcW w:w="1336"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仿宋_GB2312" w:hAnsi="仿宋_GB2312" w:eastAsia="仿宋_GB2312" w:cs="仿宋_GB2312"/>
                <w:color w:val="000000"/>
                <w:sz w:val="32"/>
                <w:szCs w:val="32"/>
                <w:vertAlign w:val="baseline"/>
                <w:lang w:val="en-US" w:eastAsia="zh-CN"/>
              </w:rPr>
            </w:pPr>
          </w:p>
        </w:tc>
        <w:tc>
          <w:tcPr>
            <w:tcW w:w="47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 w:cs="宋体"/>
                <w:color w:val="000000"/>
                <w:sz w:val="24"/>
                <w:szCs w:val="24"/>
                <w:lang w:val="en-US" w:eastAsia="zh-CN"/>
              </w:rPr>
            </w:pPr>
            <w:r>
              <w:rPr>
                <w:rFonts w:hint="eastAsia" w:ascii="仿宋_GB2312" w:hAnsi="仿宋" w:cs="宋体"/>
                <w:color w:val="000000"/>
                <w:sz w:val="24"/>
                <w:szCs w:val="24"/>
                <w:lang w:val="en-US" w:eastAsia="zh-CN"/>
              </w:rPr>
              <w:t>普法</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 w:cs="宋体"/>
                <w:color w:val="000000"/>
                <w:sz w:val="24"/>
                <w:szCs w:val="24"/>
                <w:lang w:val="en-US" w:eastAsia="zh-CN"/>
              </w:rPr>
            </w:pPr>
            <w:r>
              <w:rPr>
                <w:rFonts w:hint="eastAsia" w:ascii="仿宋_GB2312" w:hAnsi="仿宋" w:cs="宋体"/>
                <w:color w:val="000000"/>
                <w:sz w:val="24"/>
                <w:szCs w:val="24"/>
                <w:lang w:val="en-US" w:eastAsia="zh-CN"/>
              </w:rPr>
              <w:t>依法</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 w:cs="宋体"/>
                <w:color w:val="000000"/>
                <w:sz w:val="24"/>
                <w:szCs w:val="24"/>
                <w:lang w:val="en-US" w:eastAsia="zh-CN"/>
              </w:rPr>
            </w:pPr>
            <w:r>
              <w:rPr>
                <w:rFonts w:hint="eastAsia" w:ascii="仿宋_GB2312" w:hAnsi="仿宋" w:cs="宋体"/>
                <w:color w:val="000000"/>
                <w:sz w:val="24"/>
                <w:szCs w:val="24"/>
                <w:lang w:val="en-US" w:eastAsia="zh-CN"/>
              </w:rPr>
              <w:t>治理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color w:val="000000"/>
                <w:lang w:val="en-US" w:eastAsia="zh-CN"/>
              </w:rPr>
            </w:pPr>
            <w:r>
              <w:rPr>
                <w:rFonts w:hint="eastAsia" w:ascii="仿宋_GB2312" w:hAnsi="仿宋" w:cs="宋体"/>
                <w:color w:val="000000"/>
                <w:sz w:val="24"/>
                <w:szCs w:val="24"/>
                <w:lang w:val="en-US" w:eastAsia="zh-CN"/>
              </w:rPr>
              <w:t>15分</w:t>
            </w:r>
          </w:p>
        </w:tc>
        <w:tc>
          <w:tcPr>
            <w:tcW w:w="7787"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ind w:left="0" w:leftChars="0" w:firstLine="0" w:firstLineChars="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深入开展以宪法为核心的法治宣传活动，在重要节日和时间节点，针对本地群众关心的热点、难点法律问题，开展法治宣传日、宣传周、宣传月等集中法治宣传公共服务活动，每年不少于6次。（3分）</w:t>
            </w:r>
          </w:p>
        </w:tc>
        <w:tc>
          <w:tcPr>
            <w:tcW w:w="349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查看活动开展图片、音视频以及其它资料等情况。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019" w:hRule="atLeast"/>
        </w:trPr>
        <w:tc>
          <w:tcPr>
            <w:tcW w:w="1336"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仿宋_GB2312" w:hAnsi="仿宋_GB2312" w:eastAsia="仿宋_GB2312" w:cs="仿宋_GB2312"/>
                <w:color w:val="000000"/>
                <w:sz w:val="32"/>
                <w:szCs w:val="32"/>
                <w:vertAlign w:val="baseline"/>
                <w:lang w:val="en-US" w:eastAsia="zh-CN"/>
              </w:rPr>
            </w:pPr>
          </w:p>
        </w:tc>
        <w:tc>
          <w:tcPr>
            <w:tcW w:w="47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356" w:firstLineChars="0"/>
              <w:jc w:val="both"/>
              <w:textAlignment w:val="auto"/>
              <w:rPr>
                <w:rFonts w:hint="eastAsia" w:ascii="仿宋_GB2312" w:hAnsi="仿宋" w:cs="宋体"/>
                <w:color w:val="000000"/>
                <w:sz w:val="24"/>
                <w:szCs w:val="24"/>
                <w:lang w:val="en-US" w:eastAsia="zh-CN"/>
              </w:rPr>
            </w:pPr>
          </w:p>
        </w:tc>
        <w:tc>
          <w:tcPr>
            <w:tcW w:w="778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为乡镇（街道）依法行政当好参谋，为当地经济社会发展重大决策提供法律意见和法律服务，提高基层治理法治化水平。（5分）</w:t>
            </w:r>
            <w:r>
              <w:rPr>
                <w:rFonts w:hint="eastAsia" w:ascii="仿宋_GB2312" w:hAnsi="仿宋_GB2312" w:eastAsia="仿宋_GB2312" w:cs="仿宋_GB2312"/>
                <w:color w:val="000000"/>
                <w:kern w:val="2"/>
                <w:sz w:val="24"/>
                <w:szCs w:val="24"/>
                <w:lang w:val="en-US" w:eastAsia="zh-CN" w:bidi="ar-SA"/>
              </w:rPr>
              <w:tab/>
            </w:r>
          </w:p>
        </w:tc>
        <w:tc>
          <w:tcPr>
            <w:tcW w:w="349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听取乡镇（街道）意见，查看相关工作记录台账。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477"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778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每个村（居）培育不少于3名“法律明白人”骨干。（3分）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辖区内有1个县级民主法治示范村（社区）。（2分）</w:t>
            </w:r>
          </w:p>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法治文化阵地设施完好、内容定期更新，开展法治文艺节目或作品创作，组织群众性法治文化演出。（2分）</w:t>
            </w:r>
          </w:p>
        </w:tc>
        <w:tc>
          <w:tcPr>
            <w:tcW w:w="3509"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查看“法律明白人”，民主法治示范村创建资料，法治文化阵地位置及现场图片，法治文艺作品等。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8" w:type="dxa"/>
          <w:trHeight w:val="767" w:hRule="atLeast"/>
        </w:trPr>
        <w:tc>
          <w:tcPr>
            <w:tcW w:w="1336"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90" w:rightChars="-43"/>
              <w:jc w:val="center"/>
              <w:textAlignment w:val="auto"/>
              <w:outlineLvl w:val="9"/>
              <w:rPr>
                <w:rFonts w:hint="eastAsia" w:ascii="宋体" w:hAnsi="宋体" w:eastAsia="宋体" w:cs="宋体"/>
                <w:b/>
                <w:bCs/>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90" w:rightChars="-43"/>
              <w:jc w:val="center"/>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五</w:t>
            </w:r>
            <w:r>
              <w:rPr>
                <w:rFonts w:hint="eastAsia" w:ascii="宋体" w:hAnsi="宋体" w:cs="宋体"/>
                <w:b/>
                <w:bCs/>
                <w:color w:val="00000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90" w:rightChars="-43"/>
              <w:jc w:val="center"/>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所务建设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90" w:rightChars="-43"/>
              <w:jc w:val="center"/>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（5分）</w:t>
            </w:r>
          </w:p>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8264"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司法所工作职能、工作人员岗位职责、联系方式统一上墙公示。（1分）</w:t>
            </w:r>
          </w:p>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人民调解、公共法律服务、社区矫正和安置帮教工作制度流程上墙。（2分）</w:t>
            </w:r>
          </w:p>
        </w:tc>
        <w:tc>
          <w:tcPr>
            <w:tcW w:w="3491"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C00000"/>
                <w:sz w:val="32"/>
                <w:szCs w:val="32"/>
                <w:vertAlign w:val="baseline"/>
                <w:lang w:val="en-US" w:eastAsia="zh-CN"/>
              </w:rPr>
            </w:pPr>
            <w:r>
              <w:rPr>
                <w:rFonts w:hint="eastAsia" w:ascii="仿宋_GB2312" w:hAnsi="仿宋_GB2312" w:eastAsia="仿宋_GB2312" w:cs="仿宋_GB2312"/>
                <w:color w:val="auto"/>
                <w:kern w:val="2"/>
                <w:sz w:val="24"/>
                <w:szCs w:val="24"/>
                <w:lang w:val="en-US" w:eastAsia="zh-CN" w:bidi="ar-SA"/>
              </w:rPr>
              <w:t>查看相关制度公示情况</w:t>
            </w:r>
            <w:r>
              <w:rPr>
                <w:rFonts w:hint="eastAsia" w:ascii="仿宋_GB2312" w:hAnsi="仿宋"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8" w:type="dxa"/>
          <w:trHeight w:val="371" w:hRule="atLeast"/>
        </w:trPr>
        <w:tc>
          <w:tcPr>
            <w:tcW w:w="1336"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8264"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业务工作档案台账设立、管理规范（包括电子档案），按照相关要求立卷、归档、保存、销毁。（2分）</w:t>
            </w:r>
          </w:p>
        </w:tc>
        <w:tc>
          <w:tcPr>
            <w:tcW w:w="3491"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color w:val="000000"/>
                <w:kern w:val="2"/>
                <w:sz w:val="24"/>
                <w:szCs w:val="24"/>
                <w:lang w:val="en-US" w:eastAsia="zh-CN" w:bidi="ar-SA"/>
              </w:rPr>
              <w:t>查看档案卷宗管理情况。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Pr>
        <w:tc>
          <w:tcPr>
            <w:tcW w:w="1336" w:type="dxa"/>
            <w:vMerge w:val="restart"/>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00" w:lineRule="exact"/>
              <w:ind w:left="0" w:leftChars="0" w:firstLine="0" w:firstLineChars="0"/>
              <w:jc w:val="center"/>
              <w:textAlignment w:val="auto"/>
              <w:outlineLvl w:val="9"/>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kern w:val="2"/>
                <w:sz w:val="24"/>
                <w:szCs w:val="24"/>
                <w:lang w:val="en-US" w:eastAsia="zh-CN" w:bidi="ar-SA"/>
              </w:rPr>
              <w:t>六、</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00" w:lineRule="exact"/>
              <w:ind w:leftChars="0"/>
              <w:jc w:val="center"/>
              <w:textAlignment w:val="auto"/>
              <w:outlineLvl w:val="9"/>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基础建设</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00" w:lineRule="exact"/>
              <w:ind w:leftChars="0"/>
              <w:jc w:val="center"/>
              <w:textAlignment w:val="auto"/>
              <w:outlineLvl w:val="9"/>
              <w:rPr>
                <w:rFonts w:hint="eastAsia" w:ascii="仿宋_GB2312" w:hAnsi="仿宋_GB2312" w:eastAsia="仿宋_GB2312" w:cs="仿宋_GB2312"/>
                <w:color w:val="000000"/>
                <w:sz w:val="32"/>
                <w:szCs w:val="32"/>
                <w:vertAlign w:val="baseline"/>
                <w:lang w:val="en-US" w:eastAsia="zh-CN"/>
              </w:rPr>
            </w:pPr>
            <w:r>
              <w:rPr>
                <w:rFonts w:hint="eastAsia" w:ascii="宋体" w:hAnsi="宋体" w:eastAsia="宋体" w:cs="宋体"/>
                <w:b/>
                <w:bCs/>
                <w:color w:val="000000"/>
                <w:kern w:val="2"/>
                <w:sz w:val="24"/>
                <w:szCs w:val="24"/>
                <w:lang w:val="en-US" w:eastAsia="zh-CN" w:bidi="ar-SA"/>
              </w:rPr>
              <w:t>（</w:t>
            </w:r>
            <w:r>
              <w:rPr>
                <w:rFonts w:hint="eastAsia" w:ascii="宋体" w:hAnsi="宋体" w:cs="宋体"/>
                <w:b/>
                <w:bCs/>
                <w:color w:val="000000"/>
                <w:kern w:val="2"/>
                <w:sz w:val="24"/>
                <w:szCs w:val="24"/>
                <w:lang w:val="en-US" w:eastAsia="zh-CN" w:bidi="ar-SA"/>
              </w:rPr>
              <w:t>10</w:t>
            </w:r>
            <w:r>
              <w:rPr>
                <w:rFonts w:hint="eastAsia" w:ascii="宋体" w:hAnsi="宋体" w:eastAsia="宋体" w:cs="宋体"/>
                <w:b/>
                <w:bCs/>
                <w:color w:val="000000"/>
                <w:kern w:val="2"/>
                <w:sz w:val="24"/>
                <w:szCs w:val="24"/>
                <w:lang w:val="en-US" w:eastAsia="zh-CN" w:bidi="ar-SA"/>
              </w:rPr>
              <w:t>分）</w:t>
            </w:r>
          </w:p>
        </w:tc>
        <w:tc>
          <w:tcPr>
            <w:tcW w:w="8264"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办公业务用房相对独立，布局合理，建筑面积达到120平方米，设置人民调解、公共法律服务、社区矫正、档案等功能室符合相关建设内容及标准（1分）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按照2019年司法部《司法所外观标识规范》《宁夏公共法律服务实体平台建设实施方案》的要求，制作悬挂司法所和公共法律服务工作站标识标牌，所容所貌整洁大方。（1分）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司法行政徽、司法所外观标识、标牌制作使用规范。（1分）。</w:t>
            </w:r>
          </w:p>
        </w:tc>
        <w:tc>
          <w:tcPr>
            <w:tcW w:w="349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查看司法所外观、标示标牌、功能设置照片。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Pr>
        <w:tc>
          <w:tcPr>
            <w:tcW w:w="1336"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8264"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为社区矫正、安置帮教、行政执法等工作配备执法记录仪、定位管理设备以及必要的执法执勤交通工具。（1分）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配备满足业务工作开展必要的办公通讯设备，服务群众需要的便民设施。（1分）</w:t>
            </w:r>
          </w:p>
        </w:tc>
        <w:tc>
          <w:tcPr>
            <w:tcW w:w="349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查看相关设备、设施。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Pr>
        <w:tc>
          <w:tcPr>
            <w:tcW w:w="1336"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8264"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信息网络联通，司法行政基层工作管理信息平台数据录入、上传及时，运行良好，能正常使用司法行政内网。（2分）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法律服务实现网上申请、网上办理、网上服务、网上监督，不断提高司法所工作效率和服务水平。（1分）</w:t>
            </w:r>
          </w:p>
        </w:tc>
        <w:tc>
          <w:tcPr>
            <w:tcW w:w="349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查验网络联通、业务工作信息平台使用及法律服务网上办理情况。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8" w:type="dxa"/>
          <w:trHeight w:val="709" w:hRule="atLeast"/>
        </w:trPr>
        <w:tc>
          <w:tcPr>
            <w:tcW w:w="1336"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jc w:val="both"/>
              <w:textAlignment w:val="auto"/>
              <w:outlineLvl w:val="9"/>
              <w:rPr>
                <w:rFonts w:hint="eastAsia" w:ascii="仿宋_GB2312" w:hAnsi="仿宋_GB2312" w:eastAsia="仿宋_GB2312" w:cs="仿宋_GB2312"/>
                <w:color w:val="000000"/>
                <w:sz w:val="32"/>
                <w:szCs w:val="32"/>
                <w:vertAlign w:val="baseline"/>
                <w:lang w:val="en-US" w:eastAsia="zh-CN"/>
              </w:rPr>
            </w:pPr>
          </w:p>
        </w:tc>
        <w:tc>
          <w:tcPr>
            <w:tcW w:w="8264" w:type="dxa"/>
            <w:gridSpan w:val="2"/>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司法所的人员经费、公用经费、办案（业务）经费、业务装备经费等，应纳入县（市、区）司法局部门预算，按各项业务工作开展情况足额保障到位。（2分）</w:t>
            </w:r>
          </w:p>
        </w:tc>
        <w:tc>
          <w:tcPr>
            <w:tcW w:w="3491" w:type="dxa"/>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查看近三年经费保障文件。</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B12D3"/>
    <w:rsid w:val="0A2B1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next w:val="1"/>
    <w:uiPriority w:val="0"/>
    <w:pPr>
      <w:ind w:firstLine="200" w:firstLineChars="200"/>
    </w:pPr>
    <w:rPr>
      <w:rFonts w:ascii="Times New Roman" w:hAnsi="Times New Roman" w:eastAsia="宋体" w:cs="Times New Roman"/>
      <w:sz w:val="21"/>
    </w:rPr>
  </w:style>
  <w:style w:type="paragraph" w:styleId="3">
    <w:name w:val="Body Text Indent"/>
    <w:basedOn w:val="1"/>
    <w:uiPriority w:val="0"/>
    <w:pPr>
      <w:spacing w:after="120"/>
      <w:ind w:left="420" w:leftChars="200"/>
    </w:pPr>
    <w:rPr>
      <w:rFonts w:ascii="Times New Roman" w:hAnsi="Times New Roman" w:eastAsia="宋体" w:cs="Times New Roman"/>
      <w:sz w:val="21"/>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Body Text First Indent 2"/>
    <w:basedOn w:val="3"/>
    <w:uiPriority w:val="0"/>
    <w:pPr>
      <w:ind w:firstLine="420" w:firstLineChars="200"/>
    </w:p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2020-12-09T08:35:00Z</dcterms:created>
  <dc:creator>YingNa</dc:creator>
  <cp:lastModifiedBy>YingNa</cp:lastModifiedBy>
  <dcterms:modified xsi:type="dcterms:W3CDTF">2020-12-09T08:36:02Z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