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39"/>
        </w:tabs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</w:rPr>
      </w:pPr>
      <w:r>
        <w:rPr>
          <w:sz w:val="20"/>
        </w:rPr>
        <w:pict>
          <v:shape id="艺术字 6" o:spid="_x0000_s1026" o:spt="136" type="#_x0000_t136" style="position:absolute;left:0pt;margin-left:36.6pt;margin-top:7.8pt;height:48pt;width:369pt;z-index:251658240;mso-width-relative:page;mso-height-relative:page;" fillcolor="#FF0000" filled="t" stroked="t" coordsize="21600,21600" adj="10800">
            <v:path/>
            <v:fill on="t" focussize="0,0"/>
            <v:stroke weight="1.5pt" color="#FF0000"/>
            <v:imagedata o:title=""/>
            <o:lock v:ext="edit" grouping="f" rotation="f" text="f" aspectratio="f"/>
            <v:textpath on="t" fitshape="t" fitpath="t" trim="t" xscale="f" string="宁夏回族自治区司法厅" style="font-family:宋体;font-size:48pt;font-weight:bold;v-text-align:center;"/>
          </v:shape>
        </w:pict>
      </w:r>
    </w:p>
    <w:p>
      <w:pPr>
        <w:jc w:val="center"/>
        <w:rPr>
          <w:rFonts w:hint="eastAsia"/>
        </w:rPr>
      </w:pPr>
    </w:p>
    <w:p>
      <w:pPr>
        <w:spacing w:line="1200" w:lineRule="exact"/>
        <w:jc w:val="center"/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8pt;height:0pt;width:442.2pt;z-index:251659264;mso-width-relative:page;mso-height-relative:page;" filled="f" stroked="t" coordsize="21600,21600" o:gfxdata="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S3KrNQAAAAGAQAA&#10;DwAAAAAAAAABACAAAAAiAAAAZHJzL2Rvd25yZXYueG1sUEsBAhQAFAAAAAgAh07iQM+cnInkAQAA&#10;oQMAAA4AAAAAAAAAAQAgAAAAIwEAAGRycy9lMm9Eb2MueG1sUEsFBgAAAAAGAAYAWQEAAHkFAAAA&#10;AA==&#10;">
                <v:path arrowok="t"/>
                <v:fill on="f" focussize="0,0"/>
                <v:stroke weight="1pt" color="#FF0000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宁司办</w:t>
      </w:r>
      <w:bookmarkStart w:id="0" w:name="send_file_no"/>
      <w:bookmarkEnd w:id="0"/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tabs>
          <w:tab w:val="left" w:pos="4739"/>
        </w:tabs>
        <w:spacing w:line="320" w:lineRule="exact"/>
        <w:rPr>
          <w:rFonts w:hint="eastAsia" w:ascii="宋体" w:hAnsi="宋体"/>
          <w:color w:val="FF0000"/>
          <w:sz w:val="30"/>
          <w:szCs w:val="30"/>
        </w:rPr>
      </w:pPr>
    </w:p>
    <w:p>
      <w:pPr>
        <w:tabs>
          <w:tab w:val="left" w:pos="4739"/>
        </w:tabs>
        <w:rPr>
          <w:rFonts w:hint="eastAsia" w:ascii="仿宋_GB2312" w:hAnsi="宋体"/>
          <w:color w:val="FF000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</w:pPr>
      <w:bookmarkStart w:id="1" w:name="zhengwen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全区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司法鉴定机构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和司法鉴定人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2018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验工作的通知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各市司法局：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为贯彻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《司法鉴定机构登记管理办法》和《司法鉴定人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管理办法》的有关规定，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按照《关于在全区司法鉴定行业中开展规范整治活动的通知》（宁司通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[2018] 1号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）的有关要求，现就开展全区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验工作有关事宜通知如下：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验对象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验对象为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被编入《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2017年度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国家司法鉴定人和司法鉴定机构名册（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宁夏回族自治区分册）》的所有司法鉴定机构和司法鉴定人。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   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审验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内容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验的主要内容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司法鉴定机构的名称、住所、法定代表人（主要负责人）变更情况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司法鉴定机构的资产变动与仪器设备情况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；司法鉴定机构依法通过计量认证或者实验室认可的检测实验室情况；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每一项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鉴定业务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类别的鉴定人配备情况；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司法鉴定项目收费标准与收费情况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2017年全年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办理司法鉴定案件数量情况。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年度审验的主要内容为：年龄情况；学历情况；专业技术职称情况；专业技能或行业执业资格情况；年龄超过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60周岁的鉴定人健康状况；系辞职公务员或退休公务员的鉴定人其原任职务情况；2017年全年办理司法鉴定案件数量情况；参加继续教育情况。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 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三、年度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验材料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参加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验的司法鉴定机构须提交以下材料（除《司法鉴定许可证》副本外一式两份）：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1、司法鉴定机构年度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登记表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（含司法鉴定机构自检报告）；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《司法鉴定许可证》副本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司法鉴定机构注册资产证明（加盖法人单位公章）；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、仪器设备情况；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依法通过计量认证或者实验室认可的检测实验室情况；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每一项鉴定业务类别配备的司法鉴定人情况；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7、2017年全年办理司法鉴定案件情况；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司法鉴定项目收费标准和收费情况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9、要求提供的其他材料。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2018年度审验的司法鉴定人须提交以下材料：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1、司法鉴定人年度审验登记表；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2、《司法鉴定人执业证》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原件及复印件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3、身份证复印件；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4、学历证（学位证）复印件；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5、专业技术职称证书复印件；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专业技能或行业执业资格证书复印件；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年龄超过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60周岁的鉴定人的健康证明原件和复印件；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8、系辞职或退休公务员的鉴定人在辞职或退休前的任职情况；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9、2017年全年办理司法鉴定案件情况；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10、参加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继续教育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的证明（没有参加继续教育的可不提供）；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要求提交的其他材料。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 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四、年度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验时间及方式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验时间为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日。具体步骤和时间安排如下：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自检和报送年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1月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日）。各司法鉴定机构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年度工作情况进行自检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总结，填写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年度审验登记表，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要求提交的原件及复印件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材料报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送所在地的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司法行政机关司法鉴定管理部门。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进行年检审核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五市司法局司法鉴定管理部门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就司法鉴定机构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验材料进行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，签署审核意见，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审核完毕交由宁夏司法鉴定协会审核，最终由自治区司法厅司法鉴定管理局审核。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履行年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注册手续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自治区司法厅司法鉴定管理局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通知司法鉴定机构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自治区司法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政务大厅服务窗口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办理相关手续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对通过年度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验的司法鉴定机构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予以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，对未通过年度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验的司法鉴定机构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，予以暂缓注册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，不编入《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2018年度国家司法鉴定人和司法鉴定机构名册（宁夏回族自治区分册）》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各鉴定机构在履行年审注册手续的同时，向司法鉴定协会缴纳2017年度会费。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、年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公告与名册制作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验结束后，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自治区司法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厅将及时在报纸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、网站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上发布公告，以便社会监督；同时，制作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2018年度国家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司法鉴定机构名册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（宁夏回族自治区分册）》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，分送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人民法院、人民检察院、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公安机关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 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六、其他有关事宜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对拒不参加年审的司法鉴定机构和司法鉴定人，予以注销。对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验中有隐瞒真实情况、弄虚作假的，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自治区司法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厅将根据《司法鉴定机构登记管理办法》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和《司法鉴定人登记管理办法》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的有关规定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予以行政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年司法鉴定机构年度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验工作是司法行政机关履行管理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监督全区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司法鉴定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机构和司法鉴定人职责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的重要内容，也是司法行政机关整顿司法鉴定秩序、规范司法鉴定人员执业活动、确保司法鉴定质量的重要举措。希望各市司法局、各司法鉴定机构对此给予高度重视，精心准备，周密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部署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，确保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年度审验工作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按时顺利进行。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1" w:leftChars="153" w:right="0" w:rightChars="0" w:firstLine="636" w:firstLineChars="199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eastAsia="zh-CN"/>
        </w:rPr>
        <w:t>宁夏</w:t>
      </w: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</w:rPr>
        <w:t>司法</w:t>
      </w: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eastAsia="zh-CN"/>
        </w:rPr>
        <w:t>鉴定机构年度审验登记表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" w:leftChars="1" w:right="0" w:rightChars="0" w:hanging="2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eastAsia="zh-CN"/>
        </w:rPr>
        <w:t>宁夏</w:t>
      </w: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</w:rPr>
        <w:t>司法</w:t>
      </w:r>
      <w:r>
        <w:rPr>
          <w:rFonts w:hint="eastAsia" w:ascii="仿宋_GB2312" w:hAnsi="仿宋_GB2312" w:eastAsia="仿宋_GB2312" w:cs="仿宋_GB2312"/>
          <w:spacing w:val="20"/>
          <w:kern w:val="48"/>
          <w:sz w:val="32"/>
          <w:szCs w:val="32"/>
          <w:lang w:eastAsia="zh-CN"/>
        </w:rPr>
        <w:t>鉴定人年度审验登记表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 xml:space="preserve">       3.2018年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  <w:t>司法鉴定机构年审汇总表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 xml:space="preserve">     4.2018年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  <w:t>司法鉴定人年审汇总表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880" w:firstLineChars="9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宁夏回族自治区司法厅办公室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480" w:firstLineChars="1400"/>
        <w:jc w:val="right"/>
        <w:textAlignment w:val="auto"/>
        <w:outlineLvl w:val="9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2018年1月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480" w:firstLineChars="14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561911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1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5.2pt;height:0.05pt;width:442.45pt;z-index:251661312;mso-width-relative:page;mso-height-relative:page;" filled="f" stroked="t" coordsize="21600,21600" o:gfxdata="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qBVhi1QAAAAcBAAAPAAAAAAAA&#10;AAEAIAAAACIAAABkcnMvZG93bnJldi54bWxQSwECFAAUAAAACACHTuJAq43zatwBAACZAwAADgAA&#10;AAAAAAABACAAAAAkAQAAZHJzL2Uyb0RvYy54bWxQSwUGAAAAAAYABgBZAQAAcgUAAAAA&#10;">
                <v:path arrowok="t"/>
                <v:fill on="f" focussize="0,0"/>
                <v:stroke weight="1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抄送：厅领导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 w:firstLine="84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自治区司法鉴定协会。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600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.45pt;height:0.05pt;width:441pt;z-index:251662336;mso-width-relative:page;mso-height-relative:page;" filled="f" stroked="t" coordsize="21600,21600" o:gfxdata="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JfPptQAAAAFAQAADwAAAAAAAAABACAA&#10;AAAiAAAAZHJzL2Rvd25yZXYueG1sUEsBAhQAFAAAAAgAh07iQNC16JzYAQAAmQMAAA4AAAAAAAAA&#10;AQAgAAAAIwEAAGRycy9lMm9Eb2MueG1sUEsFBgAAAAAGAAYAWQEAAG0FAAAAAA==&#10;">
                <v:path arrowok="t"/>
                <v:fill on="f" focussize="0,0"/>
                <v:stroke weight="1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559181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7pt;height:0.05pt;width:440.3pt;z-index:251660288;mso-width-relative:page;mso-height-relative:page;" filled="f" stroked="t" coordsize="21600,21600" o:gfxdata="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R6RGdYAAAAGAQAADwAAAAAAAAAB&#10;ACAAAAAiAAAAZHJzL2Rvd25yZXYueG1sUEsBAhQAFAAAAAgAh07iQF+JT+jZAQAAmQMAAA4AAAAA&#10;AAAAAQAgAAAAJQEAAGRycy9lMm9Eb2MueG1sUEsFBgAAAAAGAAYAWQEAAHAFAAAAAA==&#10;">
                <v:path arrowok="t"/>
                <v:fill on="f" focussize="0,0"/>
                <v:stroke weight="1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自治区司法厅办公室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2F33"/>
    <w:multiLevelType w:val="singleLevel"/>
    <w:tmpl w:val="5A4B2F3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B2F4F"/>
    <w:multiLevelType w:val="singleLevel"/>
    <w:tmpl w:val="5A4B2F4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7A2C"/>
    <w:rsid w:val="2E517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2018-01-19T02:26:00Z</dcterms:created>
  <dc:creator>YingNa</dc:creator>
  <cp:lastModifiedBy>YingNa</cp:lastModifiedBy>
  <dcterms:modified xsi:type="dcterms:W3CDTF">2018-01-19T02:28:12Z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