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44" w:tblpY="69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5"/>
        <w:gridCol w:w="1657"/>
        <w:gridCol w:w="2300"/>
        <w:gridCol w:w="2943"/>
        <w:gridCol w:w="15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机构业务范围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（执业类别简写）</w:t>
            </w:r>
          </w:p>
        </w:tc>
        <w:tc>
          <w:tcPr>
            <w:tcW w:w="6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能力验证基本情况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年份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能力验证项目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银川市第一人民医院司法鉴定中心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法医临床学损伤程度鉴定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4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未参加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法医临床学损伤程度鉴定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4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未参加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银川市第二人民医院司法鉴定中心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4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未参加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4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未参加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法医临床学损伤程度鉴定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</w:tc>
      </w:tr>
      <w:tr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法医临床学损伤程度鉴定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宁夏法庭科学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司法鉴定中心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法医临床、法医病理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4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未参加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法医病理学死亡原因鉴定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法医临床学听觉功能评定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法医病理学死亡原因鉴定及致伤物推断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法医病理学死亡原因鉴定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宁夏精神疾病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鉴定中心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法医精神疾病鉴定、精神障碍医学鉴定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法医精神病学行为能力评定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法医精神病学行为能力评定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法医精神病学伤残程度鉴定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法医精神病学行为能力评定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法医精神病学伤残程度鉴定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法医精神病学行为能力评定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法医精神病学伤残程度鉴定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宁夏证泰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司法鉴定所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法医临床、法医病理、文书、痕迹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篡改文件鉴定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笔迹鉴定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法医临床学伤残程度鉴定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笔迹鉴定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篡改文件鉴定（专项检查项）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宁夏昊天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司法鉴定所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4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未参加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4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未参加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法医临床学损伤程度鉴定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法医临床学损伤程度鉴定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法医病理学死亡原因鉴定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宁夏泰和司法鉴定中心银川分所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法医临床、法医病理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4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未参加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法医病理学死亡原因鉴定及致伤物推断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法医临床学损伤程度鉴定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宁夏麦迪康医药卫生科技有限公司司法鉴定所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法医物证DNA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个体识别（血斑与唾液斑）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4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未参加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二联体亲权鉴定（血斑）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4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未参加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宁夏鼎实生物鉴定中心（有限公司）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法医物证DNA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个体识别（血斑与唾液斑）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4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未参加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个体识别（血斑与唾液斑）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三联体亲权鉴定（血斑）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三联体亲权鉴定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Y染色体鉴定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Calibri" w:hAnsi="Calibri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天津市天鼎物证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宁夏分所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文书、痕迹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朱墨时序鉴定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指印鉴定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笔迹鉴定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篡改文件鉴定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印章印文鉴定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篡改文件鉴定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文件形成方式鉴定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笔迹鉴定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指印鉴定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篡改文件鉴定（专项检查项目）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印章印文鉴定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朱墨时序鉴定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宁夏六维物证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司法鉴定中心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文书、痕迹(文物)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4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未参加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朱墨时序鉴定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指印鉴定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笔迹鉴定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篡改文件鉴定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印章印文鉴定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文件形成方式鉴定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指印鉴定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笔迹鉴定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文件形成方式鉴定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笔迹鉴定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指印鉴定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篡改文件鉴定（专项检查项目）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宁夏一路平安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司法鉴定中心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法医临床、法医病理、法医毒物（血醇）、道路交通事故、痕迹、声像资料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4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未参加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血液中乙醇含量测定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法医临床学损伤程度鉴定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法医临床学听觉功能评定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法医临床学视觉功能评定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道路交通事故车速鉴定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道路交通事故痕迹鉴定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法医临床学视觉功能评定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血液中乙醇含量测定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血液中乙醇含量测定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法医病理学死亡原因鉴定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法医临床学损伤程度鉴定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法医临床学听觉功能评定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法医临床学视觉功能评定</w:t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道路交通事故车速鉴定</w:t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道路交通事故痕迹鉴定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宁夏博瑞司法鉴定中心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道路交通事故、痕迹、声像资料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4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未参加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道路交通事故痕迹鉴定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道路交通事故痕迹鉴定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道路交通事故车速鉴定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法医病理学死亡原因鉴定及致伤物推断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未反馈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道路交通事故车速鉴定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道路交通事故痕迹鉴定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宁夏华振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司法鉴定中心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道路交通事故车速鉴定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道路交通事故痕迹鉴定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道路交通事故车速鉴定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道路交通事故痕迹鉴定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血液中乙醇含量测定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血液中乙醇含量测定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道路交通事故车速鉴定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道路交通事故痕迹鉴定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宁夏四维金盾中天司法鉴定中心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法医临床、法医病理、法医毒物（血醇）、道路交通事故、痕迹、声像资料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血液中乙醇含量测定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法医临床学损伤程度鉴定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道路交通事故车速鉴定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道路交通事故痕迹鉴定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法医病理学死亡原因鉴定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血液中乙醇含量测定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法医病理学死亡原因鉴定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法医临床学损伤程度鉴定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道路交通事故车速鉴定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道路交通事故痕迹鉴定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血液中乙醇含量测定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医疗过错鉴定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道路交通事故痕迹鉴定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法医病理学死亡原因鉴定及致伤物推断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道路交通事故车速鉴定</w:t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道路交通事故痕迹鉴定</w:t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血液中乙醇含量测定</w:t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法医病理学死亡原因鉴定</w:t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 w:bidi="ar"/>
              </w:rPr>
              <w:t>医疗过错鉴定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不通过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宁夏谨正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司法鉴定中心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法医临床学损伤程度鉴定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未反馈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未反馈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法医临床学伤残程度鉴定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法医临床学损伤程度鉴定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77AE5"/>
    <w:rsid w:val="77877AE5"/>
    <w:rsid w:val="FDFFC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仿宋" w:hAnsi="仿宋" w:eastAsia="仿宋" w:cs="仿宋"/>
      <w:b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2020-12-14T11:20:00Z</dcterms:created>
  <dc:creator>YingNa</dc:creator>
  <cp:lastModifiedBy>kyliu</cp:lastModifiedBy>
  <dcterms:modified xsi:type="dcterms:W3CDTF">2022-10-14T10:31:31Z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